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792428">
        <w:rPr>
          <w:rFonts w:ascii="Times New Roman" w:hAnsi="Times New Roman"/>
          <w:b/>
          <w:color w:val="0070C0"/>
          <w:sz w:val="32"/>
          <w:szCs w:val="32"/>
        </w:rPr>
        <w:t>окружающему миру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792428">
        <w:rPr>
          <w:rFonts w:ascii="Times New Roman" w:hAnsi="Times New Roman"/>
          <w:b/>
          <w:color w:val="0070C0"/>
          <w:sz w:val="32"/>
          <w:szCs w:val="32"/>
        </w:rPr>
        <w:t>4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7904AA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792428">
        <w:rPr>
          <w:rFonts w:ascii="Times New Roman" w:hAnsi="Times New Roman" w:cs="Times New Roman"/>
          <w:sz w:val="28"/>
          <w:szCs w:val="24"/>
        </w:rPr>
        <w:t>32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2428" w:rsidRPr="00312A2B" w:rsidTr="00792428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312A2B" w:rsidRDefault="00792428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1518096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23,97</w:t>
            </w:r>
          </w:p>
        </w:tc>
      </w:tr>
      <w:tr w:rsidR="00792428" w:rsidRPr="00312A2B" w:rsidTr="00792428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312A2B" w:rsidRDefault="00792428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28" w:rsidRPr="00792428" w:rsidRDefault="00792428" w:rsidP="0079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26,96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3CB6" w:rsidRDefault="00BF3CB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F3CB6" w:rsidRDefault="00BF3CB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8718331"/>
            <wp:effectExtent l="0" t="0" r="0" b="698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7904AA"/>
    <w:rsid w:val="00792428"/>
    <w:rsid w:val="008A5134"/>
    <w:rsid w:val="008E5635"/>
    <w:rsid w:val="009A3EA2"/>
    <w:rsid w:val="009E3E45"/>
    <w:rsid w:val="00BF3CB6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1.17</c:v>
                </c:pt>
                <c:pt idx="1">
                  <c:v>19.510000000000002</c:v>
                </c:pt>
                <c:pt idx="2">
                  <c:v>55.35</c:v>
                </c:pt>
                <c:pt idx="3">
                  <c:v>23.97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0.28999999999999998</c:v>
                </c:pt>
                <c:pt idx="1">
                  <c:v>15.75</c:v>
                </c:pt>
                <c:pt idx="2">
                  <c:v>56.99</c:v>
                </c:pt>
                <c:pt idx="3">
                  <c:v>26.96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2675200"/>
        <c:axId val="47700736"/>
      </c:barChart>
      <c:catAx>
        <c:axId val="42675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7700736"/>
        <c:crosses val="autoZero"/>
        <c:auto val="1"/>
        <c:lblAlgn val="ctr"/>
        <c:lblOffset val="100"/>
        <c:noMultiLvlLbl val="0"/>
      </c:catAx>
      <c:valAx>
        <c:axId val="47700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675200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Лист1!$B$2:$B$34</c:f>
              <c:numCache>
                <c:formatCode>General</c:formatCode>
                <c:ptCount val="33"/>
                <c:pt idx="0">
                  <c:v>0.1</c:v>
                </c:pt>
                <c:pt idx="1">
                  <c:v>0</c:v>
                </c:pt>
                <c:pt idx="2">
                  <c:v>0.1</c:v>
                </c:pt>
                <c:pt idx="3">
                  <c:v>0.1</c:v>
                </c:pt>
                <c:pt idx="4">
                  <c:v>0.1</c:v>
                </c:pt>
                <c:pt idx="5">
                  <c:v>0.2</c:v>
                </c:pt>
                <c:pt idx="6">
                  <c:v>0.3</c:v>
                </c:pt>
                <c:pt idx="7">
                  <c:v>0.4</c:v>
                </c:pt>
                <c:pt idx="8">
                  <c:v>0.6</c:v>
                </c:pt>
                <c:pt idx="9">
                  <c:v>0.7</c:v>
                </c:pt>
                <c:pt idx="10">
                  <c:v>0.9</c:v>
                </c:pt>
                <c:pt idx="11">
                  <c:v>1.2</c:v>
                </c:pt>
                <c:pt idx="12">
                  <c:v>1.5</c:v>
                </c:pt>
                <c:pt idx="13">
                  <c:v>1.8</c:v>
                </c:pt>
                <c:pt idx="14">
                  <c:v>2.2000000000000002</c:v>
                </c:pt>
                <c:pt idx="15">
                  <c:v>2.7</c:v>
                </c:pt>
                <c:pt idx="16">
                  <c:v>3.4</c:v>
                </c:pt>
                <c:pt idx="17">
                  <c:v>4.5</c:v>
                </c:pt>
                <c:pt idx="18">
                  <c:v>4.7</c:v>
                </c:pt>
                <c:pt idx="19">
                  <c:v>5.2</c:v>
                </c:pt>
                <c:pt idx="20">
                  <c:v>5.8</c:v>
                </c:pt>
                <c:pt idx="21">
                  <c:v>6.1</c:v>
                </c:pt>
                <c:pt idx="22">
                  <c:v>6.6</c:v>
                </c:pt>
                <c:pt idx="23">
                  <c:v>6.8</c:v>
                </c:pt>
                <c:pt idx="24">
                  <c:v>6.9</c:v>
                </c:pt>
                <c:pt idx="25">
                  <c:v>6.8</c:v>
                </c:pt>
                <c:pt idx="26">
                  <c:v>6.4</c:v>
                </c:pt>
                <c:pt idx="27">
                  <c:v>7</c:v>
                </c:pt>
                <c:pt idx="28">
                  <c:v>5.8</c:v>
                </c:pt>
                <c:pt idx="29">
                  <c:v>4.5999999999999996</c:v>
                </c:pt>
                <c:pt idx="30">
                  <c:v>3.3</c:v>
                </c:pt>
                <c:pt idx="31">
                  <c:v>2.1</c:v>
                </c:pt>
                <c:pt idx="32">
                  <c:v>1.1000000000000001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Лист1!$C$2:$C$34</c:f>
              <c:numCache>
                <c:formatCode>General</c:formatCode>
                <c:ptCount val="3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</c:v>
                </c:pt>
                <c:pt idx="5">
                  <c:v>0</c:v>
                </c:pt>
                <c:pt idx="6">
                  <c:v>0.1</c:v>
                </c:pt>
                <c:pt idx="7">
                  <c:v>0.1</c:v>
                </c:pt>
                <c:pt idx="8">
                  <c:v>0.3</c:v>
                </c:pt>
                <c:pt idx="9">
                  <c:v>0.4</c:v>
                </c:pt>
                <c:pt idx="10">
                  <c:v>0.5</c:v>
                </c:pt>
                <c:pt idx="11">
                  <c:v>0.8</c:v>
                </c:pt>
                <c:pt idx="12">
                  <c:v>0.9</c:v>
                </c:pt>
                <c:pt idx="13">
                  <c:v>1.3</c:v>
                </c:pt>
                <c:pt idx="14">
                  <c:v>1.9</c:v>
                </c:pt>
                <c:pt idx="15">
                  <c:v>2.6</c:v>
                </c:pt>
                <c:pt idx="16">
                  <c:v>2.8</c:v>
                </c:pt>
                <c:pt idx="17">
                  <c:v>4.4000000000000004</c:v>
                </c:pt>
                <c:pt idx="18">
                  <c:v>4.7</c:v>
                </c:pt>
                <c:pt idx="19">
                  <c:v>4.9000000000000004</c:v>
                </c:pt>
                <c:pt idx="20">
                  <c:v>5.8</c:v>
                </c:pt>
                <c:pt idx="21">
                  <c:v>6.3</c:v>
                </c:pt>
                <c:pt idx="22">
                  <c:v>6.5</c:v>
                </c:pt>
                <c:pt idx="23">
                  <c:v>7.5</c:v>
                </c:pt>
                <c:pt idx="24">
                  <c:v>7.6</c:v>
                </c:pt>
                <c:pt idx="25">
                  <c:v>7.2</c:v>
                </c:pt>
                <c:pt idx="26">
                  <c:v>6.5</c:v>
                </c:pt>
                <c:pt idx="27">
                  <c:v>7.9</c:v>
                </c:pt>
                <c:pt idx="28">
                  <c:v>6.1</c:v>
                </c:pt>
                <c:pt idx="29">
                  <c:v>5.4</c:v>
                </c:pt>
                <c:pt idx="30">
                  <c:v>3.8</c:v>
                </c:pt>
                <c:pt idx="31">
                  <c:v>2.2999999999999998</c:v>
                </c:pt>
                <c:pt idx="32">
                  <c:v>1.4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3196416"/>
        <c:axId val="44108032"/>
      </c:barChart>
      <c:catAx>
        <c:axId val="431964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4108032"/>
        <c:crosses val="autoZero"/>
        <c:auto val="1"/>
        <c:lblAlgn val="ctr"/>
        <c:lblOffset val="100"/>
        <c:noMultiLvlLbl val="0"/>
      </c:catAx>
      <c:valAx>
        <c:axId val="44108032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319641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21.61</c:v>
                </c:pt>
                <c:pt idx="1">
                  <c:v>64.67</c:v>
                </c:pt>
                <c:pt idx="2">
                  <c:v>13.72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3197440"/>
        <c:axId val="44106880"/>
      </c:barChart>
      <c:catAx>
        <c:axId val="43197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106880"/>
        <c:crosses val="autoZero"/>
        <c:auto val="1"/>
        <c:lblAlgn val="ctr"/>
        <c:lblOffset val="100"/>
        <c:noMultiLvlLbl val="0"/>
      </c:catAx>
      <c:valAx>
        <c:axId val="44106880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319744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1</c:v>
                </c:pt>
                <c:pt idx="1">
                  <c:v>2</c:v>
                </c:pt>
                <c:pt idx="2">
                  <c:v>3,1</c:v>
                </c:pt>
                <c:pt idx="3">
                  <c:v>3,2</c:v>
                </c:pt>
                <c:pt idx="4">
                  <c:v>3,3</c:v>
                </c:pt>
                <c:pt idx="5">
                  <c:v>4</c:v>
                </c:pt>
                <c:pt idx="6">
                  <c:v>5</c:v>
                </c:pt>
                <c:pt idx="7">
                  <c:v>6,1</c:v>
                </c:pt>
                <c:pt idx="8">
                  <c:v>6,2</c:v>
                </c:pt>
                <c:pt idx="9">
                  <c:v>6,3</c:v>
                </c:pt>
                <c:pt idx="10">
                  <c:v>7,1</c:v>
                </c:pt>
                <c:pt idx="11">
                  <c:v>7,2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9,1</c:v>
                </c:pt>
                <c:pt idx="16">
                  <c:v>9,2</c:v>
                </c:pt>
                <c:pt idx="17">
                  <c:v>9,3</c:v>
                </c:pt>
                <c:pt idx="18">
                  <c:v>10,1</c:v>
                </c:pt>
                <c:pt idx="19">
                  <c:v>10.2K1</c:v>
                </c:pt>
                <c:pt idx="20">
                  <c:v>10.2K2</c:v>
                </c:pt>
                <c:pt idx="21">
                  <c:v>10.2K3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90.63</c:v>
                </c:pt>
                <c:pt idx="1">
                  <c:v>76.099999999999994</c:v>
                </c:pt>
                <c:pt idx="2">
                  <c:v>59.87</c:v>
                </c:pt>
                <c:pt idx="3">
                  <c:v>85.9</c:v>
                </c:pt>
                <c:pt idx="4">
                  <c:v>59.49</c:v>
                </c:pt>
                <c:pt idx="5">
                  <c:v>75.42</c:v>
                </c:pt>
                <c:pt idx="6">
                  <c:v>86.25</c:v>
                </c:pt>
                <c:pt idx="7">
                  <c:v>76.97</c:v>
                </c:pt>
                <c:pt idx="8">
                  <c:v>45.41</c:v>
                </c:pt>
                <c:pt idx="9">
                  <c:v>33.47</c:v>
                </c:pt>
                <c:pt idx="10">
                  <c:v>74.09</c:v>
                </c:pt>
                <c:pt idx="11">
                  <c:v>69.16</c:v>
                </c:pt>
                <c:pt idx="12">
                  <c:v>85.51</c:v>
                </c:pt>
                <c:pt idx="13">
                  <c:v>73.010000000000005</c:v>
                </c:pt>
                <c:pt idx="14">
                  <c:v>51.15</c:v>
                </c:pt>
                <c:pt idx="15">
                  <c:v>92.03</c:v>
                </c:pt>
                <c:pt idx="16">
                  <c:v>86.17</c:v>
                </c:pt>
                <c:pt idx="17">
                  <c:v>60.36</c:v>
                </c:pt>
                <c:pt idx="18">
                  <c:v>81.430000000000007</c:v>
                </c:pt>
                <c:pt idx="19">
                  <c:v>65.97</c:v>
                </c:pt>
                <c:pt idx="20">
                  <c:v>64.900000000000006</c:v>
                </c:pt>
                <c:pt idx="21">
                  <c:v>38.340000000000003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1</c:v>
                </c:pt>
                <c:pt idx="1">
                  <c:v>2</c:v>
                </c:pt>
                <c:pt idx="2">
                  <c:v>3,1</c:v>
                </c:pt>
                <c:pt idx="3">
                  <c:v>3,2</c:v>
                </c:pt>
                <c:pt idx="4">
                  <c:v>3,3</c:v>
                </c:pt>
                <c:pt idx="5">
                  <c:v>4</c:v>
                </c:pt>
                <c:pt idx="6">
                  <c:v>5</c:v>
                </c:pt>
                <c:pt idx="7">
                  <c:v>6,1</c:v>
                </c:pt>
                <c:pt idx="8">
                  <c:v>6,2</c:v>
                </c:pt>
                <c:pt idx="9">
                  <c:v>6,3</c:v>
                </c:pt>
                <c:pt idx="10">
                  <c:v>7,1</c:v>
                </c:pt>
                <c:pt idx="11">
                  <c:v>7,2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9,1</c:v>
                </c:pt>
                <c:pt idx="16">
                  <c:v>9,2</c:v>
                </c:pt>
                <c:pt idx="17">
                  <c:v>9,3</c:v>
                </c:pt>
                <c:pt idx="18">
                  <c:v>10,1</c:v>
                </c:pt>
                <c:pt idx="19">
                  <c:v>10.2K1</c:v>
                </c:pt>
                <c:pt idx="20">
                  <c:v>10.2K2</c:v>
                </c:pt>
                <c:pt idx="21">
                  <c:v>10.2K3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91.59</c:v>
                </c:pt>
                <c:pt idx="1">
                  <c:v>79.180000000000007</c:v>
                </c:pt>
                <c:pt idx="2">
                  <c:v>58.46</c:v>
                </c:pt>
                <c:pt idx="3">
                  <c:v>89.82</c:v>
                </c:pt>
                <c:pt idx="4">
                  <c:v>62.38</c:v>
                </c:pt>
                <c:pt idx="5">
                  <c:v>77.400000000000006</c:v>
                </c:pt>
                <c:pt idx="6">
                  <c:v>88.88</c:v>
                </c:pt>
                <c:pt idx="7">
                  <c:v>79.36</c:v>
                </c:pt>
                <c:pt idx="8">
                  <c:v>47.84</c:v>
                </c:pt>
                <c:pt idx="9">
                  <c:v>35.880000000000003</c:v>
                </c:pt>
                <c:pt idx="10">
                  <c:v>75.930000000000007</c:v>
                </c:pt>
                <c:pt idx="11">
                  <c:v>71.45</c:v>
                </c:pt>
                <c:pt idx="12">
                  <c:v>88.88</c:v>
                </c:pt>
                <c:pt idx="13">
                  <c:v>76.239999999999995</c:v>
                </c:pt>
                <c:pt idx="14">
                  <c:v>53.96</c:v>
                </c:pt>
                <c:pt idx="15">
                  <c:v>94.16</c:v>
                </c:pt>
                <c:pt idx="16">
                  <c:v>88.42</c:v>
                </c:pt>
                <c:pt idx="17">
                  <c:v>62.96</c:v>
                </c:pt>
                <c:pt idx="18">
                  <c:v>83.4</c:v>
                </c:pt>
                <c:pt idx="19">
                  <c:v>68.12</c:v>
                </c:pt>
                <c:pt idx="20">
                  <c:v>67.55</c:v>
                </c:pt>
                <c:pt idx="21">
                  <c:v>41.33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3197952"/>
        <c:axId val="44112640"/>
      </c:barChart>
      <c:catAx>
        <c:axId val="43197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4112640"/>
        <c:crosses val="autoZero"/>
        <c:auto val="1"/>
        <c:lblAlgn val="ctr"/>
        <c:lblOffset val="100"/>
        <c:noMultiLvlLbl val="0"/>
      </c:catAx>
      <c:valAx>
        <c:axId val="441126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19795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Лист1!$A$2:$A$23</c:f>
              <c:strCache>
                <c:ptCount val="22"/>
                <c:pt idx="0">
                  <c:v>1</c:v>
                </c:pt>
                <c:pt idx="1">
                  <c:v>2</c:v>
                </c:pt>
                <c:pt idx="2">
                  <c:v>3,1</c:v>
                </c:pt>
                <c:pt idx="3">
                  <c:v>3,2</c:v>
                </c:pt>
                <c:pt idx="4">
                  <c:v>3,3</c:v>
                </c:pt>
                <c:pt idx="5">
                  <c:v>4</c:v>
                </c:pt>
                <c:pt idx="6">
                  <c:v>5</c:v>
                </c:pt>
                <c:pt idx="7">
                  <c:v>6,1</c:v>
                </c:pt>
                <c:pt idx="8">
                  <c:v>6,2</c:v>
                </c:pt>
                <c:pt idx="9">
                  <c:v>6,3</c:v>
                </c:pt>
                <c:pt idx="10">
                  <c:v>7,1</c:v>
                </c:pt>
                <c:pt idx="11">
                  <c:v>7,2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9,1</c:v>
                </c:pt>
                <c:pt idx="16">
                  <c:v>9,2</c:v>
                </c:pt>
                <c:pt idx="17">
                  <c:v>9,3</c:v>
                </c:pt>
                <c:pt idx="18">
                  <c:v>10,1</c:v>
                </c:pt>
                <c:pt idx="19">
                  <c:v>10.2K1</c:v>
                </c:pt>
                <c:pt idx="20">
                  <c:v>10.2K2</c:v>
                </c:pt>
                <c:pt idx="21">
                  <c:v>10.2K3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29.55</c:v>
                </c:pt>
                <c:pt idx="1">
                  <c:v>18.18</c:v>
                </c:pt>
                <c:pt idx="2">
                  <c:v>4.55</c:v>
                </c:pt>
                <c:pt idx="3">
                  <c:v>22.73</c:v>
                </c:pt>
                <c:pt idx="4">
                  <c:v>4.55</c:v>
                </c:pt>
                <c:pt idx="5">
                  <c:v>25</c:v>
                </c:pt>
                <c:pt idx="6">
                  <c:v>50</c:v>
                </c:pt>
                <c:pt idx="7">
                  <c:v>13.64</c:v>
                </c:pt>
                <c:pt idx="8">
                  <c:v>4.55</c:v>
                </c:pt>
                <c:pt idx="9">
                  <c:v>0</c:v>
                </c:pt>
                <c:pt idx="10">
                  <c:v>22.73</c:v>
                </c:pt>
                <c:pt idx="11">
                  <c:v>15.91</c:v>
                </c:pt>
                <c:pt idx="12">
                  <c:v>27.27</c:v>
                </c:pt>
                <c:pt idx="13">
                  <c:v>9.09</c:v>
                </c:pt>
                <c:pt idx="14">
                  <c:v>0</c:v>
                </c:pt>
                <c:pt idx="15">
                  <c:v>45.45</c:v>
                </c:pt>
                <c:pt idx="16">
                  <c:v>36.36</c:v>
                </c:pt>
                <c:pt idx="17">
                  <c:v>9.09</c:v>
                </c:pt>
                <c:pt idx="18">
                  <c:v>22.73</c:v>
                </c:pt>
                <c:pt idx="19">
                  <c:v>9.09</c:v>
                </c:pt>
                <c:pt idx="20">
                  <c:v>13.64</c:v>
                </c:pt>
                <c:pt idx="21">
                  <c:v>4.55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Лист1!$A$2:$A$23</c:f>
              <c:strCache>
                <c:ptCount val="22"/>
                <c:pt idx="0">
                  <c:v>1</c:v>
                </c:pt>
                <c:pt idx="1">
                  <c:v>2</c:v>
                </c:pt>
                <c:pt idx="2">
                  <c:v>3,1</c:v>
                </c:pt>
                <c:pt idx="3">
                  <c:v>3,2</c:v>
                </c:pt>
                <c:pt idx="4">
                  <c:v>3,3</c:v>
                </c:pt>
                <c:pt idx="5">
                  <c:v>4</c:v>
                </c:pt>
                <c:pt idx="6">
                  <c:v>5</c:v>
                </c:pt>
                <c:pt idx="7">
                  <c:v>6,1</c:v>
                </c:pt>
                <c:pt idx="8">
                  <c:v>6,2</c:v>
                </c:pt>
                <c:pt idx="9">
                  <c:v>6,3</c:v>
                </c:pt>
                <c:pt idx="10">
                  <c:v>7,1</c:v>
                </c:pt>
                <c:pt idx="11">
                  <c:v>7,2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9,1</c:v>
                </c:pt>
                <c:pt idx="16">
                  <c:v>9,2</c:v>
                </c:pt>
                <c:pt idx="17">
                  <c:v>9,3</c:v>
                </c:pt>
                <c:pt idx="18">
                  <c:v>10,1</c:v>
                </c:pt>
                <c:pt idx="19">
                  <c:v>10.2K1</c:v>
                </c:pt>
                <c:pt idx="20">
                  <c:v>10.2K2</c:v>
                </c:pt>
                <c:pt idx="21">
                  <c:v>10.2K3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77.8</c:v>
                </c:pt>
                <c:pt idx="1">
                  <c:v>53.24</c:v>
                </c:pt>
                <c:pt idx="2">
                  <c:v>25.61</c:v>
                </c:pt>
                <c:pt idx="3">
                  <c:v>70.3</c:v>
                </c:pt>
                <c:pt idx="4">
                  <c:v>26.73</c:v>
                </c:pt>
                <c:pt idx="5">
                  <c:v>59.69</c:v>
                </c:pt>
                <c:pt idx="6">
                  <c:v>76.92</c:v>
                </c:pt>
                <c:pt idx="7">
                  <c:v>54.42</c:v>
                </c:pt>
                <c:pt idx="8">
                  <c:v>17.440000000000001</c:v>
                </c:pt>
                <c:pt idx="9">
                  <c:v>6.53</c:v>
                </c:pt>
                <c:pt idx="10">
                  <c:v>54.68</c:v>
                </c:pt>
                <c:pt idx="11">
                  <c:v>48.61</c:v>
                </c:pt>
                <c:pt idx="12">
                  <c:v>68.239999999999995</c:v>
                </c:pt>
                <c:pt idx="13">
                  <c:v>43.22</c:v>
                </c:pt>
                <c:pt idx="14">
                  <c:v>15.67</c:v>
                </c:pt>
                <c:pt idx="15">
                  <c:v>84.84</c:v>
                </c:pt>
                <c:pt idx="16">
                  <c:v>71.27</c:v>
                </c:pt>
                <c:pt idx="17">
                  <c:v>27.3</c:v>
                </c:pt>
                <c:pt idx="18">
                  <c:v>60.11</c:v>
                </c:pt>
                <c:pt idx="19">
                  <c:v>39.43</c:v>
                </c:pt>
                <c:pt idx="20">
                  <c:v>34.369999999999997</c:v>
                </c:pt>
                <c:pt idx="21">
                  <c:v>10.4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Лист1!$A$2:$A$23</c:f>
              <c:strCache>
                <c:ptCount val="22"/>
                <c:pt idx="0">
                  <c:v>1</c:v>
                </c:pt>
                <c:pt idx="1">
                  <c:v>2</c:v>
                </c:pt>
                <c:pt idx="2">
                  <c:v>3,1</c:v>
                </c:pt>
                <c:pt idx="3">
                  <c:v>3,2</c:v>
                </c:pt>
                <c:pt idx="4">
                  <c:v>3,3</c:v>
                </c:pt>
                <c:pt idx="5">
                  <c:v>4</c:v>
                </c:pt>
                <c:pt idx="6">
                  <c:v>5</c:v>
                </c:pt>
                <c:pt idx="7">
                  <c:v>6,1</c:v>
                </c:pt>
                <c:pt idx="8">
                  <c:v>6,2</c:v>
                </c:pt>
                <c:pt idx="9">
                  <c:v>6,3</c:v>
                </c:pt>
                <c:pt idx="10">
                  <c:v>7,1</c:v>
                </c:pt>
                <c:pt idx="11">
                  <c:v>7,2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9,1</c:v>
                </c:pt>
                <c:pt idx="16">
                  <c:v>9,2</c:v>
                </c:pt>
                <c:pt idx="17">
                  <c:v>9,3</c:v>
                </c:pt>
                <c:pt idx="18">
                  <c:v>10,1</c:v>
                </c:pt>
                <c:pt idx="19">
                  <c:v>10.2K1</c:v>
                </c:pt>
                <c:pt idx="20">
                  <c:v>10.2K2</c:v>
                </c:pt>
                <c:pt idx="21">
                  <c:v>10.2K3</c:v>
                </c:pt>
              </c:strCache>
            </c:strRef>
          </c:cat>
          <c:val>
            <c:numRef>
              <c:f>Лист1!$D$2:$D$23</c:f>
              <c:numCache>
                <c:formatCode>General</c:formatCode>
                <c:ptCount val="22"/>
                <c:pt idx="0">
                  <c:v>92.65</c:v>
                </c:pt>
                <c:pt idx="1">
                  <c:v>80.099999999999994</c:v>
                </c:pt>
                <c:pt idx="2">
                  <c:v>55.6</c:v>
                </c:pt>
                <c:pt idx="3">
                  <c:v>91.56</c:v>
                </c:pt>
                <c:pt idx="4">
                  <c:v>59.61</c:v>
                </c:pt>
                <c:pt idx="5">
                  <c:v>76.59</c:v>
                </c:pt>
                <c:pt idx="6">
                  <c:v>89.13</c:v>
                </c:pt>
                <c:pt idx="7">
                  <c:v>80.14</c:v>
                </c:pt>
                <c:pt idx="8">
                  <c:v>43.89</c:v>
                </c:pt>
                <c:pt idx="9">
                  <c:v>28.28</c:v>
                </c:pt>
                <c:pt idx="10">
                  <c:v>74.849999999999994</c:v>
                </c:pt>
                <c:pt idx="11">
                  <c:v>69.900000000000006</c:v>
                </c:pt>
                <c:pt idx="12">
                  <c:v>90.29</c:v>
                </c:pt>
                <c:pt idx="13">
                  <c:v>76.599999999999994</c:v>
                </c:pt>
                <c:pt idx="14">
                  <c:v>50.2</c:v>
                </c:pt>
                <c:pt idx="15">
                  <c:v>95.02</c:v>
                </c:pt>
                <c:pt idx="16">
                  <c:v>89.45</c:v>
                </c:pt>
                <c:pt idx="17">
                  <c:v>61.09</c:v>
                </c:pt>
                <c:pt idx="18">
                  <c:v>84.53</c:v>
                </c:pt>
                <c:pt idx="19">
                  <c:v>67.010000000000005</c:v>
                </c:pt>
                <c:pt idx="20">
                  <c:v>65.33</c:v>
                </c:pt>
                <c:pt idx="21">
                  <c:v>34.04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Лист1!$A$2:$A$23</c:f>
              <c:strCache>
                <c:ptCount val="22"/>
                <c:pt idx="0">
                  <c:v>1</c:v>
                </c:pt>
                <c:pt idx="1">
                  <c:v>2</c:v>
                </c:pt>
                <c:pt idx="2">
                  <c:v>3,1</c:v>
                </c:pt>
                <c:pt idx="3">
                  <c:v>3,2</c:v>
                </c:pt>
                <c:pt idx="4">
                  <c:v>3,3</c:v>
                </c:pt>
                <c:pt idx="5">
                  <c:v>4</c:v>
                </c:pt>
                <c:pt idx="6">
                  <c:v>5</c:v>
                </c:pt>
                <c:pt idx="7">
                  <c:v>6,1</c:v>
                </c:pt>
                <c:pt idx="8">
                  <c:v>6,2</c:v>
                </c:pt>
                <c:pt idx="9">
                  <c:v>6,3</c:v>
                </c:pt>
                <c:pt idx="10">
                  <c:v>7,1</c:v>
                </c:pt>
                <c:pt idx="11">
                  <c:v>7,2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9,1</c:v>
                </c:pt>
                <c:pt idx="16">
                  <c:v>9,2</c:v>
                </c:pt>
                <c:pt idx="17">
                  <c:v>9,3</c:v>
                </c:pt>
                <c:pt idx="18">
                  <c:v>10,1</c:v>
                </c:pt>
                <c:pt idx="19">
                  <c:v>10.2K1</c:v>
                </c:pt>
                <c:pt idx="20">
                  <c:v>10.2K2</c:v>
                </c:pt>
                <c:pt idx="21">
                  <c:v>10.2K3</c:v>
                </c:pt>
              </c:strCache>
            </c:strRef>
          </c:cat>
          <c:val>
            <c:numRef>
              <c:f>Лист1!$E$2:$E$23</c:f>
              <c:numCache>
                <c:formatCode>General</c:formatCode>
                <c:ptCount val="22"/>
                <c:pt idx="0">
                  <c:v>98.08</c:v>
                </c:pt>
                <c:pt idx="1">
                  <c:v>93.01</c:v>
                </c:pt>
                <c:pt idx="2">
                  <c:v>84.25</c:v>
                </c:pt>
                <c:pt idx="3">
                  <c:v>98.28</c:v>
                </c:pt>
                <c:pt idx="4">
                  <c:v>89.67</c:v>
                </c:pt>
                <c:pt idx="5">
                  <c:v>90.03</c:v>
                </c:pt>
                <c:pt idx="6">
                  <c:v>95.82</c:v>
                </c:pt>
                <c:pt idx="7">
                  <c:v>93.01</c:v>
                </c:pt>
                <c:pt idx="8">
                  <c:v>74.459999999999994</c:v>
                </c:pt>
                <c:pt idx="9">
                  <c:v>69.489999999999995</c:v>
                </c:pt>
                <c:pt idx="10">
                  <c:v>91.19</c:v>
                </c:pt>
                <c:pt idx="11">
                  <c:v>88.66</c:v>
                </c:pt>
                <c:pt idx="12">
                  <c:v>98.62</c:v>
                </c:pt>
                <c:pt idx="13">
                  <c:v>95.47</c:v>
                </c:pt>
                <c:pt idx="14">
                  <c:v>84.84</c:v>
                </c:pt>
                <c:pt idx="15">
                  <c:v>98.33</c:v>
                </c:pt>
                <c:pt idx="16">
                  <c:v>96.8</c:v>
                </c:pt>
                <c:pt idx="17">
                  <c:v>88.29</c:v>
                </c:pt>
                <c:pt idx="18">
                  <c:v>95.25</c:v>
                </c:pt>
                <c:pt idx="19">
                  <c:v>87.84</c:v>
                </c:pt>
                <c:pt idx="20">
                  <c:v>92.18</c:v>
                </c:pt>
                <c:pt idx="21">
                  <c:v>75.22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8649728"/>
        <c:axId val="63558720"/>
      </c:lineChart>
      <c:catAx>
        <c:axId val="48649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3558720"/>
        <c:crosses val="autoZero"/>
        <c:auto val="1"/>
        <c:lblAlgn val="ctr"/>
        <c:lblOffset val="100"/>
        <c:noMultiLvlLbl val="0"/>
      </c:catAx>
      <c:valAx>
        <c:axId val="635587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864972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69800963051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</c:v>
                </c:pt>
                <c:pt idx="1">
                  <c:v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
Использовать знаково­символические средства для решения задач; понимать</c:v>
                </c:pt>
                <c:pt idx="2">
                  <c:v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3">
                  <c:v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4">
                  <c:v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5">
                  <c:v>4. Овладение начальными сведениями о сущности и особенностях объектов, процессов и явлений действительности; умение анализировать изображения. 
Узнавать изученные объекты и явления живой и неживой природы; использовать знаково­символические средства, в то</c:v>
                </c:pt>
                <c:pt idx="6">
                  <c:v>5. Освоение элементарных норм здоровьесберегающего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</c:v>
                </c:pt>
                <c:pt idx="7">
                  <c:v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8">
                  <c:v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9">
                  <c:v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0">
                  <c:v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1">
                  <c:v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2">
                  <c:v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3">
                  <c:v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4">
                  <c:v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5">
                  <c:v>9.1.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6">
                  <c:v>9.2.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7">
                  <c:v>9.3.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8">
                  <c:v>10.1. Сформированность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</c:v>
                </c:pt>
                <c:pt idx="19">
                  <c:v>10.2K1. Сформированность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</c:v>
                </c:pt>
                <c:pt idx="20">
                  <c:v>10.2K2. Сформированность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</c:v>
                </c:pt>
                <c:pt idx="21">
                  <c:v>10.2K3. Сформированность уважительного отношения к родному краю; осознанно строить речевое высказывание в соответствии с задачами коммуникации.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90.63</c:v>
                </c:pt>
                <c:pt idx="1">
                  <c:v>76.099999999999994</c:v>
                </c:pt>
                <c:pt idx="2">
                  <c:v>59.87</c:v>
                </c:pt>
                <c:pt idx="3">
                  <c:v>85.9</c:v>
                </c:pt>
                <c:pt idx="4">
                  <c:v>59.49</c:v>
                </c:pt>
                <c:pt idx="5">
                  <c:v>75.42</c:v>
                </c:pt>
                <c:pt idx="6">
                  <c:v>86.25</c:v>
                </c:pt>
                <c:pt idx="7">
                  <c:v>76.97</c:v>
                </c:pt>
                <c:pt idx="8">
                  <c:v>45.41</c:v>
                </c:pt>
                <c:pt idx="9">
                  <c:v>33.47</c:v>
                </c:pt>
                <c:pt idx="10">
                  <c:v>74.09</c:v>
                </c:pt>
                <c:pt idx="11">
                  <c:v>69.16</c:v>
                </c:pt>
                <c:pt idx="12">
                  <c:v>85.51</c:v>
                </c:pt>
                <c:pt idx="13">
                  <c:v>73.010000000000005</c:v>
                </c:pt>
                <c:pt idx="14">
                  <c:v>51.15</c:v>
                </c:pt>
                <c:pt idx="15">
                  <c:v>92.03</c:v>
                </c:pt>
                <c:pt idx="16">
                  <c:v>86.17</c:v>
                </c:pt>
                <c:pt idx="17">
                  <c:v>60.36</c:v>
                </c:pt>
                <c:pt idx="18">
                  <c:v>81.430000000000007</c:v>
                </c:pt>
                <c:pt idx="19">
                  <c:v>65.97</c:v>
                </c:pt>
                <c:pt idx="20">
                  <c:v>64.900000000000006</c:v>
                </c:pt>
                <c:pt idx="21">
                  <c:v>38.340000000000003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</c:v>
                </c:pt>
                <c:pt idx="1">
                  <c:v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
Использовать знаково­символические средства для решения задач; понимать</c:v>
                </c:pt>
                <c:pt idx="2">
                  <c:v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3">
                  <c:v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4">
                  <c:v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</c:v>
                </c:pt>
                <c:pt idx="5">
                  <c:v>4. Овладение начальными сведениями о сущности и особенностях объектов, процессов и явлений действительности; умение анализировать изображения. 
Узнавать изученные объекты и явления живой и неживой природы; использовать знаково­символические средства, в то</c:v>
                </c:pt>
                <c:pt idx="6">
                  <c:v>5. Освоение элементарных норм здоровьесберегающего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</c:v>
                </c:pt>
                <c:pt idx="7">
                  <c:v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8">
                  <c:v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9">
                  <c:v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</c:v>
                </c:pt>
                <c:pt idx="10">
                  <c:v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1">
                  <c:v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</c:v>
                </c:pt>
                <c:pt idx="12">
                  <c:v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3">
                  <c:v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4">
                  <c:v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
Оценивать характер взаимоотношений людей в различны</c:v>
                </c:pt>
                <c:pt idx="15">
                  <c:v>9.1.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6">
                  <c:v>9.2.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7">
                  <c:v>9.3.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</c:v>
                </c:pt>
                <c:pt idx="18">
                  <c:v>10.1. Сформированность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</c:v>
                </c:pt>
                <c:pt idx="19">
                  <c:v>10.2K1. Сформированность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</c:v>
                </c:pt>
                <c:pt idx="20">
                  <c:v>10.2K2. Сформированность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</c:v>
                </c:pt>
                <c:pt idx="21">
                  <c:v>10.2K3. Сформированность уважительного отношения к родному краю; осознанно строить речевое высказывание в соответствии с задачами коммуникации.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91.59</c:v>
                </c:pt>
                <c:pt idx="1">
                  <c:v>79.180000000000007</c:v>
                </c:pt>
                <c:pt idx="2">
                  <c:v>58.46</c:v>
                </c:pt>
                <c:pt idx="3">
                  <c:v>89.82</c:v>
                </c:pt>
                <c:pt idx="4">
                  <c:v>62.38</c:v>
                </c:pt>
                <c:pt idx="5">
                  <c:v>77.400000000000006</c:v>
                </c:pt>
                <c:pt idx="6">
                  <c:v>88.88</c:v>
                </c:pt>
                <c:pt idx="7">
                  <c:v>79.36</c:v>
                </c:pt>
                <c:pt idx="8">
                  <c:v>47.84</c:v>
                </c:pt>
                <c:pt idx="9">
                  <c:v>35.880000000000003</c:v>
                </c:pt>
                <c:pt idx="10">
                  <c:v>75.930000000000007</c:v>
                </c:pt>
                <c:pt idx="11">
                  <c:v>71.45</c:v>
                </c:pt>
                <c:pt idx="12">
                  <c:v>88.88</c:v>
                </c:pt>
                <c:pt idx="13">
                  <c:v>76.239999999999995</c:v>
                </c:pt>
                <c:pt idx="14">
                  <c:v>53.96</c:v>
                </c:pt>
                <c:pt idx="15">
                  <c:v>94.16</c:v>
                </c:pt>
                <c:pt idx="16">
                  <c:v>88.42</c:v>
                </c:pt>
                <c:pt idx="17">
                  <c:v>62.96</c:v>
                </c:pt>
                <c:pt idx="18">
                  <c:v>83.4</c:v>
                </c:pt>
                <c:pt idx="19">
                  <c:v>68.12</c:v>
                </c:pt>
                <c:pt idx="20">
                  <c:v>67.55</c:v>
                </c:pt>
                <c:pt idx="21">
                  <c:v>41.33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1347456"/>
        <c:axId val="44112064"/>
      </c:barChart>
      <c:catAx>
        <c:axId val="5134745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4112064"/>
        <c:crosses val="autoZero"/>
        <c:auto val="1"/>
        <c:lblAlgn val="ctr"/>
        <c:lblOffset val="100"/>
        <c:noMultiLvlLbl val="0"/>
      </c:catAx>
      <c:valAx>
        <c:axId val="44112064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13474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687171916010503"/>
          <c:y val="0.96654154118272551"/>
          <c:w val="0.27088600904053661"/>
          <c:h val="3.2424840113719849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2021-11-30T13:38:00Z</dcterms:modified>
</cp:coreProperties>
</file>